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0969DA"/>
          <w:sz w:val="34"/>
        </w:rPr>
        <w:t>SUMIT ATRE, CISSP</w:t>
        <w:tab/>
      </w:r>
      <w:r>
        <w:rPr>
          <w:b/>
          <w:color w:val="57606A"/>
          <w:sz w:val="18"/>
        </w:rPr>
        <w:t>CYBER SECURITY ENGINEER | CLOUD SECURITY &amp; INFRASTRUCTURE</w:t>
      </w:r>
    </w:p>
    <w:p>
      <w:pPr>
        <w:spacing w:after="80"/>
        <w:pBdr>
          <w:bottom w:val="single" w:sz="14" w:space="3" w:color="0969DA"/>
        </w:pBdr>
      </w:pPr>
      <w:r>
        <w:rPr>
          <w:color w:val="57606A"/>
          <w:sz w:val="16"/>
        </w:rPr>
        <w:t>Location: Greater Toronto Area, ON   |   Email: resume@sumitatre.com   |   LinkedIn: linkedin.com/in/sumitatre   |   Portfolio: sumitatre.com</w:t>
      </w:r>
    </w:p>
    <w:p>
      <w:pPr>
        <w:spacing w:before="120" w:after="60"/>
        <w:pBdr>
          <w:bottom w:val="single" w:sz="8" w:space="2" w:color="0969DA"/>
        </w:pBdr>
      </w:pPr>
      <w:r>
        <w:rPr>
          <w:b/>
          <w:color w:val="0969DA"/>
          <w:sz w:val="19"/>
        </w:rPr>
        <w:t>EXECUTIVE PROFILE</w:t>
      </w:r>
    </w:p>
    <w:p>
      <w:pPr>
        <w:spacing w:after="80"/>
      </w:pPr>
      <w:r>
        <w:t xml:space="preserve">High-impact Cyber Security Engineer with proven expertise architecting and securing multi-tenant Azure, hybrid cloud, and SASE enterprise environments. Specialized in FinOps-aligned telemetry architecture, DevSecOps pipeline automation, Identity &amp; Access Management (Entra ID), Zero Trust Network Access (ZTNA), and infrastructure-as-code (Terraform) governance. Proven track record collaborating with senior leadership and cross-functional engineering teams to remediate systemic vulnerabilities, establish cloud security baselines, and drive enterprise-scale OpEx reduction. Holds active </w:t>
      </w:r>
      <w:r>
        <w:rPr>
          <w:b/>
        </w:rPr>
        <w:t>CISSP</w:t>
      </w:r>
      <w:r>
        <w:t xml:space="preserve"> and </w:t>
      </w:r>
      <w:r>
        <w:rPr>
          <w:b/>
        </w:rPr>
        <w:t>Azure Administrator Associate (AZ-104)</w:t>
      </w:r>
      <w:r>
        <w:t xml:space="preserve"> credentials, underpinned by foundational </w:t>
      </w:r>
      <w:r>
        <w:rPr>
          <w:b/>
        </w:rPr>
        <w:t>Azure Solutions Architect Expert (AZ-305)</w:t>
      </w:r>
      <w:r>
        <w:t xml:space="preserve"> and </w:t>
      </w:r>
      <w:r>
        <w:rPr>
          <w:b/>
        </w:rPr>
        <w:t>Enterprise Administrator Expert (MS-102)</w:t>
      </w:r>
      <w:r>
        <w:t xml:space="preserve"> milestones.</w:t>
      </w:r>
    </w:p>
    <w:p>
      <w:pPr>
        <w:spacing w:before="120" w:after="60"/>
        <w:pBdr>
          <w:bottom w:val="single" w:sz="8" w:space="2" w:color="0969DA"/>
        </w:pBdr>
      </w:pPr>
      <w:r>
        <w:rPr>
          <w:b/>
          <w:color w:val="0969DA"/>
          <w:sz w:val="19"/>
        </w:rPr>
        <w:t>CORE COMPETENCIES</w:t>
      </w:r>
    </w:p>
    <w:p>
      <w:pPr>
        <w:spacing w:after="30"/>
        <w:ind w:left="216"/>
      </w:pPr>
      <w:r>
        <w:rPr>
          <w:color w:val="0969DA"/>
        </w:rPr>
        <w:t xml:space="preserve">•  </w:t>
      </w:r>
      <w:r>
        <w:rPr>
          <w:b/>
          <w:color w:val="0969DA"/>
        </w:rPr>
        <w:t xml:space="preserve">Cloud Architecture &amp; Platform Security: </w:t>
      </w:r>
      <w:r>
        <w:t>Microsoft Azure, AWS, Azure Kubernetes Service (AKS), Terraform (IaC), Zero Trust Architecture, CIS Benchmarks, CSPM.</w:t>
      </w:r>
    </w:p>
    <w:p>
      <w:pPr>
        <w:spacing w:after="30"/>
        <w:ind w:left="216"/>
      </w:pPr>
      <w:r>
        <w:rPr>
          <w:color w:val="0969DA"/>
        </w:rPr>
        <w:t xml:space="preserve">•  </w:t>
      </w:r>
      <w:r>
        <w:rPr>
          <w:b/>
          <w:color w:val="0969DA"/>
        </w:rPr>
        <w:t xml:space="preserve">Security Operations &amp; SOAR Automation: </w:t>
      </w:r>
      <w:r>
        <w:t>Microsoft Sentinel, Log Analytics (LAW), Logic Apps / SOAR, Data Collection Rules (DCR), Telemetry Optimization (FinOps), BlueVoyant MDR, KQL.</w:t>
      </w:r>
    </w:p>
    <w:p>
      <w:pPr>
        <w:spacing w:after="30"/>
        <w:ind w:left="216"/>
      </w:pPr>
      <w:r>
        <w:rPr>
          <w:color w:val="0969DA"/>
        </w:rPr>
        <w:t xml:space="preserve">•  </w:t>
      </w:r>
      <w:r>
        <w:rPr>
          <w:b/>
          <w:color w:val="0969DA"/>
        </w:rPr>
        <w:t xml:space="preserve">Identity, SASE &amp; Zero Trust Governance: </w:t>
      </w:r>
      <w:r>
        <w:t>Microsoft Entra ID, Cato Networks SASE, Zero Trust Network Access (ZTNA), Dual-Control Conditional Access, PIM, FIDO2, Managed Identities.</w:t>
      </w:r>
    </w:p>
    <w:p>
      <w:pPr>
        <w:spacing w:after="30"/>
        <w:ind w:left="216"/>
      </w:pPr>
      <w:r>
        <w:rPr>
          <w:color w:val="0969DA"/>
        </w:rPr>
        <w:t xml:space="preserve">•  </w:t>
      </w:r>
      <w:r>
        <w:rPr>
          <w:b/>
          <w:color w:val="0969DA"/>
        </w:rPr>
        <w:t xml:space="preserve">Data Protection, AI Security &amp; GRC: </w:t>
      </w:r>
      <w:r>
        <w:t>Microsoft Purview (DSPM/DLP), Enterprise AI Data Boundaries (M365 Claude), SOC 2 Type II, ISO/IEC 27001, NFR Security Architecture, Incident Response &amp; RCA.</w:t>
      </w:r>
    </w:p>
    <w:p>
      <w:pPr>
        <w:spacing w:before="120" w:after="60"/>
        <w:pBdr>
          <w:bottom w:val="single" w:sz="8" w:space="2" w:color="0969DA"/>
        </w:pBdr>
      </w:pPr>
      <w:r>
        <w:rPr>
          <w:b/>
          <w:color w:val="0969DA"/>
          <w:sz w:val="19"/>
        </w:rPr>
        <w:t>PROFESSIONAL EXPERIENCE</w:t>
      </w:r>
    </w:p>
    <w:p>
      <w:pPr>
        <w:spacing w:before="80" w:after="40"/>
      </w:pPr>
      <w:r>
        <w:rPr>
          <w:b/>
          <w:sz w:val="18"/>
        </w:rPr>
        <w:t>Cyber Security Engineer</w:t>
      </w:r>
      <w:r>
        <w:rPr>
          <w:color w:val="57606A"/>
        </w:rPr>
        <w:t xml:space="preserve">  |  </w:t>
      </w:r>
      <w:r>
        <w:rPr>
          <w:b/>
          <w:color w:val="0969DA"/>
        </w:rPr>
        <w:t>GS1 Canada</w:t>
      </w:r>
      <w:r>
        <w:rPr>
          <w:b/>
          <w:color w:val="57606A"/>
          <w:sz w:val="16"/>
        </w:rPr>
        <w:tab/>
        <w:t>April 2025 – Present | Greater Toronto Area, ON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Cloud FinOps &amp; Telemetry Re-Architecture: </w:t>
      </w:r>
      <w:r>
        <w:t>Architected and implemented an enterprise-wide Azure Log Analytics and Sentinel ingestion overhaul, reducing monthly workspace ingestion overhead by over 90%, realizing over $100K+ CAD in annual recurring OpEx savings without degrading detection fidelity.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Kubernetes Telemetry Optimization: </w:t>
      </w:r>
      <w:r>
        <w:t>Engineered surgical Azure Monitor Data Collection Rules (DCRs) to filter high-volume, low-signal container stdout/stderr at the edge, retaining actionable security and control plane telemetry while eliminating non-security operational noise—slashing container telemetry ingestion costs by over 70% ($50K+ annually).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Enterprise Identity &amp; Zero Trust Transit: </w:t>
      </w:r>
      <w:r>
        <w:t>Architected enterprise Conditional Access dual-control frameworks (Intune Compliance + MFA) and automated Graph API identity lifecycle governance, eliminating remote SASE/Cato SSO transit deadlocks.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Enterprise AI &amp; Data Security Governance: </w:t>
      </w:r>
      <w:r>
        <w:t>Engineered enterprise AI data boundaries (M365 Claude integration), authoring custom Microsoft Purview DSPM Sensitive Information Types (SIT) and automated Defender App Governance circuit breakers.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Proactive Threat Defense &amp; SOAR Automation: </w:t>
      </w:r>
      <w:r>
        <w:t>Engineered high-fidelity KQL detection analytics and automated SOAR pipelines in Sentinel for supply-chain vendor compromises (EmailEvents correlation with automated entity consolidation).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Data Lifecycle &amp; Ingestion Governance: </w:t>
      </w:r>
      <w:r>
        <w:t>Redesigned retention policies across 15 core security tables from 365-day interactive storage into a 90-day interactive / 275-day archive tier, with an expanded plan capturing an additional 11 high-throughput tables.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Executive Security Visibility &amp; Governance: </w:t>
      </w:r>
      <w:r>
        <w:t>Authored FinOps capacity models, data lifecycle policies, and architectural cost-efficiency baselines for senior technical leadership, establishing foundational KPIs for enterprise platform modernization.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Infrastructure-as-Code Hardening: </w:t>
      </w:r>
      <w:r>
        <w:t>Conducted end-to-end security reviews of Terraform deployments and Azure Functions execution models (Run From Package tokenization), authoring automated guardrails and migrating legacy SAS tokens to Azure Managed Identities.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rPr>
          <w:b/>
        </w:rPr>
        <w:t xml:space="preserve">MDR &amp; Threat Attribution: </w:t>
      </w:r>
      <w:r>
        <w:t>Technical escalation lead partnering with BlueVoyant MDR; executed cross-platform investigations correlating external vendor ingress with Entra ID tenant telemetry and Azure DevOps pipelines to eliminate false positives and drive root cause remediation.</w:t>
      </w:r>
    </w:p>
    <w:p>
      <w:r>
        <w:br w:type="page"/>
      </w:r>
    </w:p>
    <w:p>
      <w:pPr>
        <w:spacing w:before="80" w:after="40"/>
      </w:pPr>
      <w:r>
        <w:rPr>
          <w:b/>
          <w:sz w:val="18"/>
        </w:rPr>
        <w:t>Senior Systems &amp; Security Administrator</w:t>
      </w:r>
      <w:r>
        <w:rPr>
          <w:color w:val="57606A"/>
        </w:rPr>
        <w:t xml:space="preserve">  |  </w:t>
      </w:r>
      <w:r>
        <w:rPr>
          <w:b/>
          <w:color w:val="0969DA"/>
        </w:rPr>
        <w:t>IT Business Advisors (ITBA)</w:t>
      </w:r>
      <w:r>
        <w:rPr>
          <w:b/>
          <w:color w:val="57606A"/>
          <w:sz w:val="16"/>
        </w:rPr>
        <w:tab/>
        <w:t>August 2021 – March 2025 | Greater Toronto Area, ON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Spearheaded cloud infrastructure, security posture, and identity engineering for 40+ multi-tenant hybrid environments across financial, healthcare, legal, and manufacturing clients (800+ total seats).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Guided multilayered technical controls and audit readiness supporting successful SOC 2 Type II compliance and ISO/IEC 27001 certification programs for enterprise clients.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Re-architected client operating environments into cloud-first configurations using Microsoft Entra ID, Intune, Conditional Access, and Microsoft Purview DLP, driving 40%–60% reductions in on-premises infrastructure maintenance costs.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Designed and deployed automated PowerShell automation engines for zero-touch provisioning and role-based lifecycle access, reducing employee onboarding and deprovisioning cycles by 40%.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Directed incident response and remediation operations across major industry threats (including zero-day Kaseya VSA CVE-2021-30116), containing lateral movement and eliminating blast radius across exposed customer tenants.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Hardened cloud and hybrid environments to CIS Level 1/Level 2 benchmarks; instituted centralized enterprise PKI, enterprise domain certificate authorities, and RADIUS authentication over 802.1X.</w:t>
      </w:r>
    </w:p>
    <w:p>
      <w:pPr>
        <w:spacing w:before="80" w:after="40"/>
      </w:pPr>
      <w:r>
        <w:rPr>
          <w:b/>
          <w:sz w:val="18"/>
        </w:rPr>
        <w:t>Systems &amp; Security Administrator</w:t>
      </w:r>
      <w:r>
        <w:rPr>
          <w:color w:val="57606A"/>
        </w:rPr>
        <w:t xml:space="preserve">  |  </w:t>
      </w:r>
      <w:r>
        <w:rPr>
          <w:b/>
          <w:color w:val="0969DA"/>
        </w:rPr>
        <w:t>IT Business Advisors (ITBA)</w:t>
      </w:r>
      <w:r>
        <w:rPr>
          <w:b/>
          <w:color w:val="57606A"/>
          <w:sz w:val="16"/>
        </w:rPr>
        <w:tab/>
        <w:t>March 2020 – August 2021 | Greater Toronto Area, ON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Monitored, investigated, and triaged multi-tenant security events across modern EDR/XDR and SIEM tools (Rapid7, Sophos XDR, Okta, Duo, ConnectWise).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Led technical discovery, scoping, and deployment for complete on-premise-to-cloud migrations into Azure and Microsoft 365.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Standardized infrastructure configuration policies, authoring runbooks and technical documentation for system hardening and disaster recovery.</w:t>
      </w:r>
    </w:p>
    <w:p>
      <w:pPr>
        <w:spacing w:before="80" w:after="40"/>
      </w:pPr>
      <w:r>
        <w:rPr>
          <w:b/>
          <w:sz w:val="18"/>
        </w:rPr>
        <w:t>Systems Administrator</w:t>
      </w:r>
      <w:r>
        <w:rPr>
          <w:color w:val="57606A"/>
        </w:rPr>
        <w:t xml:space="preserve">  |  </w:t>
      </w:r>
      <w:r>
        <w:rPr>
          <w:b/>
          <w:color w:val="0969DA"/>
        </w:rPr>
        <w:t>Some IT Guy</w:t>
      </w:r>
      <w:r>
        <w:rPr>
          <w:b/>
          <w:color w:val="57606A"/>
          <w:sz w:val="16"/>
        </w:rPr>
        <w:tab/>
        <w:t>January 2008 – December 2019 | Greater Toronto Area, ON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Maintained, secured, and administered Windows Server environments (2008–2019), Active Directory Group Policy, DNS, DHCP, and enterprise backup/DR platforms (Veeam).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Managed third-party external penetration testing engagements, translating technical findings into prioritized vulnerability remediation roadmaps.</w:t>
      </w:r>
    </w:p>
    <w:p>
      <w:pPr>
        <w:spacing w:after="36"/>
        <w:ind w:left="259"/>
      </w:pPr>
      <w:r>
        <w:rPr>
          <w:color w:val="0969DA"/>
        </w:rPr>
        <w:t xml:space="preserve">•  </w:t>
      </w:r>
      <w:r>
        <w:t>Implemented physical and network security baselines across multi-site branch operations.</w:t>
      </w:r>
    </w:p>
    <w:p>
      <w:pPr>
        <w:spacing w:before="120" w:after="60"/>
        <w:pBdr>
          <w:bottom w:val="single" w:sz="8" w:space="2" w:color="0969DA"/>
        </w:pBdr>
      </w:pPr>
      <w:r>
        <w:rPr>
          <w:b/>
          <w:color w:val="0969DA"/>
          <w:sz w:val="19"/>
        </w:rPr>
        <w:t>CERTIFICATIONS &amp; CREDENTIALS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72"/>
          </w:tcPr>
          <w:p>
            <w:r>
              <w:rPr>
                <w:b/>
                <w:color w:val="0969DA"/>
                <w:sz w:val="15"/>
              </w:rPr>
              <w:t>ACTIVE INDUSTRY CREDENTIALS</w:t>
            </w:r>
          </w:p>
        </w:tc>
        <w:tc>
          <w:tcPr>
            <w:tcW w:type="dxa" w:w="5328"/>
          </w:tcPr>
          <w:p>
            <w:r>
              <w:rPr>
                <w:b/>
                <w:color w:val="57606A"/>
                <w:sz w:val="15"/>
              </w:rPr>
              <w:t>ARCHITECTURAL &amp; FOUNDATIONAL MILESTONES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• CISSP – Information Systems Security Professional  ((ISC)² · Active)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• Azure Solutions Architect Expert (AZ-305)  (Microsoft Certified)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• Azure Administrator Associate (AZ-104)  (Microsoft · Active)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• M365 Enterprise Administrator Expert (MS-102) | CompTIA Security+</w:t>
            </w:r>
          </w:p>
        </w:tc>
      </w:tr>
    </w:tbl>
    <w:p>
      <w:pPr>
        <w:spacing w:before="120" w:after="60"/>
        <w:pBdr>
          <w:bottom w:val="single" w:sz="8" w:space="2" w:color="0969DA"/>
        </w:pBdr>
      </w:pPr>
      <w:r>
        <w:rPr>
          <w:b/>
          <w:color w:val="0969DA"/>
          <w:sz w:val="19"/>
        </w:rPr>
        <w:t>TECHNICAL SKILLS SUMMARY</w:t>
      </w:r>
    </w:p>
    <w:p>
      <w:pPr>
        <w:spacing w:after="30"/>
      </w:pPr>
      <w:r>
        <w:rPr>
          <w:b/>
          <w:color w:val="0969DA"/>
          <w:sz w:val="16"/>
        </w:rPr>
        <w:t xml:space="preserve">Cloud &amp; Platforms: </w:t>
      </w:r>
      <w:r>
        <w:rPr>
          <w:sz w:val="16"/>
        </w:rPr>
        <w:t>Microsoft Azure, AWS, Azure Kubernetes Service (AKS), Terraform (IaC), Docker, CSPM, CI/CD Security.</w:t>
      </w:r>
    </w:p>
    <w:p>
      <w:pPr>
        <w:spacing w:after="30"/>
      </w:pPr>
      <w:r>
        <w:rPr>
          <w:b/>
          <w:color w:val="0969DA"/>
          <w:sz w:val="16"/>
        </w:rPr>
        <w:t xml:space="preserve">SecOps &amp; SIEM/SOAR: </w:t>
      </w:r>
      <w:r>
        <w:rPr>
          <w:sz w:val="16"/>
        </w:rPr>
        <w:t>Microsoft Sentinel, Log Analytics (LAW), Kusto Query Language (KQL), Logic Apps / SOAR, BlueVoyant MDR.</w:t>
      </w:r>
    </w:p>
    <w:p>
      <w:pPr>
        <w:spacing w:after="30"/>
      </w:pPr>
      <w:r>
        <w:rPr>
          <w:b/>
          <w:color w:val="0969DA"/>
          <w:sz w:val="16"/>
        </w:rPr>
        <w:t xml:space="preserve">Identity &amp; SASE: </w:t>
      </w:r>
      <w:r>
        <w:rPr>
          <w:sz w:val="16"/>
        </w:rPr>
        <w:t>Microsoft Entra ID, Cato Networks SASE, Zero Trust Network Access (ZTNA), Conditional Access, Intune, PIM, FIDO2.</w:t>
      </w:r>
    </w:p>
    <w:p>
      <w:pPr>
        <w:spacing w:after="30"/>
      </w:pPr>
      <w:r>
        <w:rPr>
          <w:b/>
          <w:color w:val="0969DA"/>
          <w:sz w:val="16"/>
        </w:rPr>
        <w:t xml:space="preserve">Data Security &amp; AI: </w:t>
      </w:r>
      <w:r>
        <w:rPr>
          <w:sz w:val="16"/>
        </w:rPr>
        <w:t>Microsoft Purview (DSPM/DLP), Sensitive Information Types (SIT), Defender App Governance, AI Boundaries (M365 Claude).</w:t>
      </w:r>
    </w:p>
    <w:p>
      <w:pPr>
        <w:spacing w:after="30"/>
      </w:pPr>
      <w:r>
        <w:rPr>
          <w:b/>
          <w:color w:val="0969DA"/>
          <w:sz w:val="16"/>
        </w:rPr>
        <w:t xml:space="preserve">Automation &amp; APIs: </w:t>
      </w:r>
      <w:r>
        <w:rPr>
          <w:sz w:val="16"/>
        </w:rPr>
        <w:t>PowerShell, Python, Bash, Microsoft Graph API, Azure Resource Manager (ARM), JSON / REST APIs.</w:t>
      </w:r>
    </w:p>
    <w:p>
      <w:pPr>
        <w:spacing w:after="30"/>
      </w:pPr>
      <w:r>
        <w:rPr>
          <w:b/>
          <w:color w:val="0969DA"/>
          <w:sz w:val="16"/>
        </w:rPr>
        <w:t xml:space="preserve">Networking &amp; Edge: </w:t>
      </w:r>
      <w:r>
        <w:rPr>
          <w:sz w:val="16"/>
        </w:rPr>
        <w:t>Cato Cloud SD-WAN, Next-Gen Firewalls (Azure Firewall, SonicWall, pfSense), 802.1X RADIUS, DNS, DHCP, IPsec.</w:t>
      </w:r>
    </w:p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40" w:before="0"/>
    </w:pPr>
    <w:rPr>
      <w:rFonts w:ascii="Arial" w:hAnsi="Arial"/>
      <w:color w:val="1F2328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